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5C29A0" w:rsidRDefault="005C29A0" w:rsidP="000F56B4">
      <w:pPr>
        <w:pStyle w:val="1"/>
        <w:widowControl w:val="0"/>
        <w:tabs>
          <w:tab w:val="left" w:pos="9923"/>
        </w:tabs>
        <w:spacing w:before="0" w:after="0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5C29A0" w:rsidRDefault="005C29A0" w:rsidP="000F56B4">
      <w:pPr>
        <w:pStyle w:val="1"/>
        <w:widowControl w:val="0"/>
        <w:tabs>
          <w:tab w:val="left" w:pos="9923"/>
        </w:tabs>
        <w:spacing w:before="0" w:after="0"/>
        <w:jc w:val="center"/>
        <w:rPr>
          <w:b/>
          <w:szCs w:val="24"/>
        </w:rPr>
      </w:pP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rPr>
          <w:szCs w:val="24"/>
        </w:rPr>
      </w:pPr>
      <w:r w:rsidRPr="0033218F">
        <w:rPr>
          <w:szCs w:val="24"/>
        </w:rPr>
        <w:t xml:space="preserve">г. </w:t>
      </w:r>
      <w:r>
        <w:rPr>
          <w:szCs w:val="24"/>
        </w:rPr>
        <w:t>Сыктывкар</w:t>
      </w:r>
      <w:r w:rsidRPr="0033218F">
        <w:rPr>
          <w:szCs w:val="24"/>
        </w:rPr>
        <w:t xml:space="preserve">               </w:t>
      </w:r>
      <w:r>
        <w:rPr>
          <w:szCs w:val="24"/>
        </w:rPr>
        <w:t xml:space="preserve">           </w:t>
      </w:r>
      <w:r w:rsidRPr="0033218F">
        <w:rPr>
          <w:szCs w:val="24"/>
        </w:rPr>
        <w:t xml:space="preserve">                </w:t>
      </w:r>
      <w:r w:rsidR="000F56B4">
        <w:rPr>
          <w:szCs w:val="24"/>
        </w:rPr>
        <w:t xml:space="preserve">     </w:t>
      </w:r>
      <w:r w:rsidRPr="0033218F">
        <w:rPr>
          <w:szCs w:val="24"/>
        </w:rPr>
        <w:t xml:space="preserve">       </w:t>
      </w:r>
      <w:r w:rsidR="009132E5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="000F56B4">
        <w:rPr>
          <w:szCs w:val="24"/>
        </w:rPr>
        <w:t xml:space="preserve">            </w:t>
      </w:r>
      <w:r>
        <w:rPr>
          <w:szCs w:val="24"/>
        </w:rPr>
        <w:t xml:space="preserve">         </w:t>
      </w:r>
      <w:r w:rsidRPr="0033218F">
        <w:rPr>
          <w:szCs w:val="24"/>
        </w:rPr>
        <w:t xml:space="preserve"> </w:t>
      </w:r>
      <w:r>
        <w:rPr>
          <w:szCs w:val="24"/>
        </w:rPr>
        <w:t>«</w:t>
      </w:r>
      <w:r w:rsidR="009132E5">
        <w:rPr>
          <w:szCs w:val="24"/>
        </w:rPr>
        <w:t>___</w:t>
      </w:r>
      <w:r>
        <w:rPr>
          <w:szCs w:val="24"/>
        </w:rPr>
        <w:t>»</w:t>
      </w:r>
      <w:r w:rsidR="00BC6823">
        <w:rPr>
          <w:szCs w:val="24"/>
        </w:rPr>
        <w:t xml:space="preserve"> </w:t>
      </w:r>
      <w:r w:rsidR="009132E5">
        <w:rPr>
          <w:szCs w:val="24"/>
        </w:rPr>
        <w:t>_________</w:t>
      </w:r>
      <w:r w:rsidRPr="0033218F">
        <w:rPr>
          <w:szCs w:val="24"/>
        </w:rPr>
        <w:t xml:space="preserve"> 20</w:t>
      </w:r>
      <w:r>
        <w:rPr>
          <w:szCs w:val="24"/>
        </w:rPr>
        <w:t>2</w:t>
      </w:r>
      <w:r w:rsidR="009132E5">
        <w:rPr>
          <w:szCs w:val="24"/>
        </w:rPr>
        <w:t>1</w:t>
      </w:r>
      <w:r>
        <w:rPr>
          <w:szCs w:val="24"/>
        </w:rPr>
        <w:t xml:space="preserve"> </w:t>
      </w:r>
      <w:r w:rsidRPr="0033218F">
        <w:rPr>
          <w:szCs w:val="24"/>
        </w:rPr>
        <w:t xml:space="preserve">г. </w:t>
      </w: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 w:firstLine="567"/>
        <w:jc w:val="center"/>
        <w:rPr>
          <w:szCs w:val="24"/>
        </w:rPr>
      </w:pP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D276DB">
        <w:rPr>
          <w:szCs w:val="24"/>
        </w:rPr>
        <w:t xml:space="preserve">Администрация Главы Республики Коми, </w:t>
      </w:r>
      <w:proofErr w:type="gramStart"/>
      <w:r w:rsidRPr="00D276DB">
        <w:rPr>
          <w:szCs w:val="24"/>
        </w:rPr>
        <w:t>именуемая</w:t>
      </w:r>
      <w:proofErr w:type="gramEnd"/>
      <w:r w:rsidRPr="00D276DB">
        <w:rPr>
          <w:szCs w:val="24"/>
        </w:rPr>
        <w:t xml:space="preserve"> в дальнейшем </w:t>
      </w:r>
      <w:r w:rsidRPr="00D276DB">
        <w:rPr>
          <w:b/>
          <w:szCs w:val="24"/>
        </w:rPr>
        <w:t>Исполнительным органом</w:t>
      </w:r>
      <w:r w:rsidRPr="00D276DB">
        <w:rPr>
          <w:szCs w:val="24"/>
        </w:rPr>
        <w:t xml:space="preserve">, в лице Руководителя Администрации Главы Республики Коми </w:t>
      </w:r>
      <w:proofErr w:type="spellStart"/>
      <w:r>
        <w:rPr>
          <w:szCs w:val="24"/>
        </w:rPr>
        <w:t>Самоварова</w:t>
      </w:r>
      <w:proofErr w:type="spellEnd"/>
      <w:r>
        <w:rPr>
          <w:szCs w:val="24"/>
        </w:rPr>
        <w:t xml:space="preserve"> Дмитрия Владимировича</w:t>
      </w:r>
      <w:r w:rsidRPr="00D276DB">
        <w:rPr>
          <w:szCs w:val="24"/>
        </w:rPr>
        <w:t>, действующего на основании Положения об Администрации Главы Республики Коми, утверждённого Указом Главы Республики Коми от 01 ноября 2016 г. № 130, с одной стороны</w:t>
      </w:r>
      <w:r w:rsidRPr="0033218F">
        <w:rPr>
          <w:szCs w:val="24"/>
        </w:rPr>
        <w:t>, __________</w:t>
      </w:r>
      <w:r>
        <w:rPr>
          <w:szCs w:val="24"/>
        </w:rPr>
        <w:t>___________________________________</w:t>
      </w:r>
      <w:r w:rsidR="000F56B4">
        <w:rPr>
          <w:szCs w:val="24"/>
        </w:rPr>
        <w:t>__</w:t>
      </w:r>
      <w:r>
        <w:rPr>
          <w:szCs w:val="24"/>
        </w:rPr>
        <w:t>_</w:t>
      </w:r>
      <w:r w:rsidRPr="0033218F">
        <w:rPr>
          <w:szCs w:val="24"/>
        </w:rPr>
        <w:t>__________________</w:t>
      </w:r>
      <w:r>
        <w:rPr>
          <w:szCs w:val="24"/>
        </w:rPr>
        <w:t>_______</w:t>
      </w:r>
      <w:r w:rsidRPr="0033218F">
        <w:rPr>
          <w:szCs w:val="24"/>
        </w:rPr>
        <w:t>,</w:t>
      </w:r>
    </w:p>
    <w:p w:rsidR="005C29A0" w:rsidRPr="000969AD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proofErr w:type="gramStart"/>
      <w:r w:rsidRPr="0033218F">
        <w:rPr>
          <w:szCs w:val="24"/>
        </w:rPr>
        <w:t>дал</w:t>
      </w:r>
      <w:r>
        <w:rPr>
          <w:szCs w:val="24"/>
        </w:rPr>
        <w:t>ьнейшем</w:t>
      </w:r>
      <w:proofErr w:type="gramEnd"/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</w:t>
      </w:r>
      <w:r w:rsidR="000F56B4">
        <w:rPr>
          <w:szCs w:val="24"/>
        </w:rPr>
        <w:t>__</w:t>
      </w:r>
      <w:r>
        <w:rPr>
          <w:szCs w:val="24"/>
        </w:rPr>
        <w:t>____________________</w:t>
      </w:r>
      <w:r w:rsidRPr="0033218F">
        <w:rPr>
          <w:szCs w:val="24"/>
        </w:rPr>
        <w:t>,</w:t>
      </w:r>
    </w:p>
    <w:p w:rsidR="005C29A0" w:rsidRPr="000969AD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</w:t>
      </w:r>
      <w:r>
        <w:rPr>
          <w:szCs w:val="24"/>
        </w:rPr>
        <w:t>_______</w:t>
      </w:r>
      <w:r w:rsidR="000F56B4">
        <w:rPr>
          <w:szCs w:val="24"/>
        </w:rPr>
        <w:t>____</w:t>
      </w:r>
      <w:r>
        <w:rPr>
          <w:szCs w:val="24"/>
        </w:rPr>
        <w:t>_____________</w:t>
      </w:r>
      <w:r w:rsidRPr="0033218F">
        <w:rPr>
          <w:szCs w:val="24"/>
        </w:rPr>
        <w:t>, со второй стороны,</w:t>
      </w:r>
      <w:r>
        <w:rPr>
          <w:szCs w:val="24"/>
        </w:rPr>
        <w:t xml:space="preserve">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</w:t>
      </w:r>
      <w:r w:rsidRPr="00C577F1">
        <w:rPr>
          <w:szCs w:val="24"/>
        </w:rPr>
        <w:t>_____________________________________________</w:t>
      </w:r>
      <w:r w:rsidR="000F56B4">
        <w:rPr>
          <w:szCs w:val="24"/>
        </w:rPr>
        <w:t>____</w:t>
      </w:r>
      <w:r w:rsidRPr="00C577F1">
        <w:rPr>
          <w:szCs w:val="24"/>
        </w:rPr>
        <w:t>_____________________</w:t>
      </w:r>
      <w:r w:rsidRPr="0033218F">
        <w:rPr>
          <w:b/>
          <w:szCs w:val="24"/>
        </w:rPr>
        <w:t xml:space="preserve">, </w:t>
      </w:r>
    </w:p>
    <w:p w:rsidR="005C29A0" w:rsidRPr="000969AD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5C29A0" w:rsidRPr="0033218F" w:rsidRDefault="005C29A0" w:rsidP="000F56B4">
      <w:pPr>
        <w:pStyle w:val="1"/>
        <w:widowControl w:val="0"/>
        <w:tabs>
          <w:tab w:val="left" w:pos="9923"/>
        </w:tabs>
        <w:spacing w:before="0" w:after="0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proofErr w:type="gramStart"/>
      <w:r w:rsidRPr="0033218F">
        <w:rPr>
          <w:szCs w:val="24"/>
        </w:rPr>
        <w:t>дал</w:t>
      </w:r>
      <w:r>
        <w:rPr>
          <w:szCs w:val="24"/>
        </w:rPr>
        <w:t>ьнейшем</w:t>
      </w:r>
      <w:proofErr w:type="gramEnd"/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Default="00F659FD" w:rsidP="005D0C2A">
      <w:pPr>
        <w:pStyle w:val="1"/>
        <w:widowControl w:val="0"/>
        <w:numPr>
          <w:ilvl w:val="0"/>
          <w:numId w:val="1"/>
        </w:numPr>
        <w:tabs>
          <w:tab w:val="left" w:pos="426"/>
          <w:tab w:val="left" w:pos="9923"/>
        </w:tabs>
        <w:spacing w:before="120" w:after="12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>«О подготовке управленческих кадров для организаций народного хозяйства Российской Федерации 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</w:t>
      </w:r>
      <w:proofErr w:type="gramStart"/>
      <w:r w:rsidRPr="00E80B80">
        <w:rPr>
          <w:szCs w:val="24"/>
        </w:rPr>
        <w:t>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  <w:proofErr w:type="gramEnd"/>
    </w:p>
    <w:p w:rsidR="00F659FD" w:rsidRDefault="00F659FD" w:rsidP="005D0C2A">
      <w:pPr>
        <w:pStyle w:val="1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120" w:after="12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0F56B4">
      <w:pPr>
        <w:pStyle w:val="1"/>
        <w:widowControl w:val="0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0F56B4">
      <w:pPr>
        <w:pStyle w:val="1"/>
        <w:widowControl w:val="0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0F56B4">
      <w:pPr>
        <w:widowControl w:val="0"/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 xml:space="preserve">; о направлении завершившего </w:t>
      </w:r>
      <w:r w:rsidRPr="00F109A5">
        <w:rPr>
          <w:szCs w:val="24"/>
        </w:rPr>
        <w:lastRenderedPageBreak/>
        <w:t>переподготовку Специалиста</w:t>
      </w:r>
      <w:r w:rsidR="007A46BD">
        <w:rPr>
          <w:szCs w:val="24"/>
        </w:rPr>
        <w:t xml:space="preserve"> </w:t>
      </w:r>
      <w:r w:rsidR="000F56B4">
        <w:rPr>
          <w:szCs w:val="24"/>
        </w:rPr>
        <w:t>н</w:t>
      </w:r>
      <w:r w:rsidRPr="00F109A5">
        <w:rPr>
          <w:szCs w:val="24"/>
        </w:rPr>
        <w:t>а собеседования и результатах таких собеседований;</w:t>
      </w:r>
    </w:p>
    <w:p w:rsidR="00F659FD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0F56B4">
      <w:pPr>
        <w:pStyle w:val="1"/>
        <w:widowControl w:val="0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0F56B4">
      <w:pPr>
        <w:pStyle w:val="1"/>
        <w:widowControl w:val="0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</w:t>
      </w:r>
      <w:proofErr w:type="gramStart"/>
      <w:r w:rsidRPr="0033218F">
        <w:rPr>
          <w:szCs w:val="24"/>
        </w:rPr>
        <w:t>отборе</w:t>
      </w:r>
      <w:proofErr w:type="gramEnd"/>
      <w:r w:rsidRPr="0033218F">
        <w:rPr>
          <w:szCs w:val="24"/>
        </w:rPr>
        <w:t xml:space="preserve">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0F56B4">
      <w:pPr>
        <w:pStyle w:val="1"/>
        <w:widowControl w:val="0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 w:rsidR="000F56B4">
        <w:rPr>
          <w:szCs w:val="24"/>
        </w:rPr>
        <w:t xml:space="preserve"> </w:t>
      </w:r>
      <w:r w:rsidR="00F659FD" w:rsidRPr="00734055">
        <w:rPr>
          <w:szCs w:val="24"/>
        </w:rPr>
        <w:t>в образовательной организации в размере 66 процентов общей стоимости обучения 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>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</w:t>
      </w:r>
      <w:r w:rsidR="000F56B4">
        <w:rPr>
          <w:szCs w:val="24"/>
        </w:rPr>
        <w:t> </w:t>
      </w:r>
      <w:r w:rsidR="00ED0EC2" w:rsidRPr="00E80B80">
        <w:rPr>
          <w:szCs w:val="24"/>
        </w:rPr>
        <w:t>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2.3.3. проведение 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решениями уполномоченных органов работ</w:t>
      </w:r>
      <w:r w:rsidR="007A46BD">
        <w:rPr>
          <w:szCs w:val="24"/>
        </w:rPr>
        <w:t xml:space="preserve"> </w:t>
      </w:r>
      <w:r>
        <w:rPr>
          <w:szCs w:val="24"/>
        </w:rPr>
        <w:t>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Default="00F659FD" w:rsidP="005D0C2A">
      <w:pPr>
        <w:pStyle w:val="1"/>
        <w:widowControl w:val="0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120" w:after="12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0F56B4">
      <w:pPr>
        <w:pStyle w:val="1"/>
        <w:widowControl w:val="0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0F56B4">
      <w:pPr>
        <w:pStyle w:val="1"/>
        <w:widowControl w:val="0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</w:t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0F56B4">
      <w:pPr>
        <w:pStyle w:val="1"/>
        <w:widowControl w:val="0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0F56B4">
      <w:pPr>
        <w:pStyle w:val="1"/>
        <w:widowControl w:val="0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0F56B4">
      <w:pPr>
        <w:pStyle w:val="1"/>
        <w:widowControl w:val="0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в </w:t>
      </w:r>
      <w:proofErr w:type="gramStart"/>
      <w:r w:rsidRPr="0033218F">
        <w:rPr>
          <w:color w:val="000000"/>
          <w:spacing w:val="-1"/>
          <w:szCs w:val="24"/>
        </w:rPr>
        <w:t>процессе</w:t>
      </w:r>
      <w:proofErr w:type="gramEnd"/>
      <w:r w:rsidRPr="0033218F">
        <w:rPr>
          <w:color w:val="000000"/>
          <w:spacing w:val="-1"/>
          <w:szCs w:val="24"/>
        </w:rPr>
        <w:t xml:space="preserve">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0F56B4">
      <w:pPr>
        <w:pStyle w:val="1"/>
        <w:widowControl w:val="0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0F56B4">
      <w:pPr>
        <w:pStyle w:val="1"/>
        <w:widowControl w:val="0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0F56B4">
      <w:pPr>
        <w:pStyle w:val="1"/>
        <w:widowControl w:val="0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0F56B4">
      <w:pPr>
        <w:pStyle w:val="1"/>
        <w:widowControl w:val="0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0F56B4">
      <w:pPr>
        <w:pStyle w:val="1"/>
        <w:widowControl w:val="0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0F56B4">
      <w:pPr>
        <w:pStyle w:val="1"/>
        <w:widowControl w:val="0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с представителями национальных координаторов стран, участвующих в подготовке, 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0F56B4">
      <w:pPr>
        <w:pStyle w:val="1"/>
        <w:widowControl w:val="0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 xml:space="preserve">обучения  по дополнительным профессиональным программам (в том </w:t>
      </w:r>
      <w:proofErr w:type="gramStart"/>
      <w:r w:rsidRPr="000C1A3C">
        <w:rPr>
          <w:szCs w:val="24"/>
        </w:rPr>
        <w:t>числе</w:t>
      </w:r>
      <w:proofErr w:type="gramEnd"/>
      <w:r w:rsidR="007A46BD">
        <w:rPr>
          <w:szCs w:val="24"/>
        </w:rPr>
        <w:t xml:space="preserve"> </w:t>
      </w:r>
      <w:r w:rsidRPr="000C1A3C">
        <w:rPr>
          <w:szCs w:val="24"/>
        </w:rPr>
        <w:t>за рубежом).</w:t>
      </w:r>
    </w:p>
    <w:p w:rsidR="00F659FD" w:rsidRPr="009E1036" w:rsidRDefault="00F659FD" w:rsidP="000F56B4">
      <w:pPr>
        <w:pStyle w:val="1"/>
        <w:widowControl w:val="0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0F56B4">
      <w:pPr>
        <w:pStyle w:val="1"/>
        <w:widowControl w:val="0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>Специалиста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0F56B4">
      <w:pPr>
        <w:pStyle w:val="1"/>
        <w:widowControl w:val="0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за рубежом);</w:t>
      </w:r>
    </w:p>
    <w:p w:rsidR="00F659FD" w:rsidRPr="00E53CC7" w:rsidRDefault="00F659FD" w:rsidP="000F56B4">
      <w:pPr>
        <w:pStyle w:val="1"/>
        <w:widowControl w:val="0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0F56B4">
      <w:pPr>
        <w:pStyle w:val="1"/>
        <w:widowControl w:val="0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0F56B4">
      <w:pPr>
        <w:pStyle w:val="1"/>
        <w:widowControl w:val="0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5D0C2A">
        <w:rPr>
          <w:szCs w:val="24"/>
        </w:rPr>
        <w:t xml:space="preserve">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Default="00F659FD" w:rsidP="005D0C2A">
      <w:pPr>
        <w:pStyle w:val="1"/>
        <w:widowControl w:val="0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120" w:after="12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0F56B4">
      <w:pPr>
        <w:pStyle w:val="1"/>
        <w:widowControl w:val="0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0F56B4">
      <w:pPr>
        <w:pStyle w:val="1"/>
        <w:widowControl w:val="0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:rsidR="00F659FD" w:rsidRDefault="00F659FD" w:rsidP="000F56B4">
      <w:pPr>
        <w:pStyle w:val="1"/>
        <w:widowControl w:val="0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0F56B4">
      <w:pPr>
        <w:pStyle w:val="1"/>
        <w:widowControl w:val="0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proofErr w:type="gramStart"/>
      <w:r w:rsidRPr="0033218F">
        <w:rPr>
          <w:szCs w:val="24"/>
        </w:rPr>
        <w:t>собеседовании</w:t>
      </w:r>
      <w:proofErr w:type="gramEnd"/>
      <w:r w:rsidRPr="0033218F">
        <w:rPr>
          <w:szCs w:val="24"/>
        </w:rPr>
        <w:t xml:space="preserve">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Default="00F659FD" w:rsidP="000F56B4">
      <w:pPr>
        <w:pStyle w:val="1"/>
        <w:widowControl w:val="0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proofErr w:type="gramStart"/>
      <w:r w:rsidR="005D0C2A">
        <w:rPr>
          <w:szCs w:val="24"/>
        </w:rPr>
        <w:t>о</w:t>
      </w:r>
      <w:r>
        <w:rPr>
          <w:szCs w:val="24"/>
        </w:rPr>
        <w:t>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0F56B4">
      <w:pPr>
        <w:pStyle w:val="1"/>
        <w:widowControl w:val="0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0F56B4">
      <w:pPr>
        <w:pStyle w:val="1"/>
        <w:widowControl w:val="0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0F56B4">
      <w:pPr>
        <w:pStyle w:val="1"/>
        <w:widowControl w:val="0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>Специалиста, не завершившего курс обучения в связи с нарушением Специалистом</w:t>
      </w:r>
      <w:r w:rsidR="007A46BD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0F56B4">
      <w:pPr>
        <w:pStyle w:val="1"/>
        <w:widowControl w:val="0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0F56B4">
      <w:pPr>
        <w:pStyle w:val="1"/>
        <w:widowControl w:val="0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</w:t>
      </w:r>
      <w:proofErr w:type="gramStart"/>
      <w:r w:rsidRPr="0033218F">
        <w:rPr>
          <w:szCs w:val="24"/>
        </w:rPr>
        <w:t>соответствии</w:t>
      </w:r>
      <w:proofErr w:type="gramEnd"/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F659FD" w:rsidRDefault="00F659FD" w:rsidP="005D0C2A">
      <w:pPr>
        <w:pStyle w:val="1"/>
        <w:widowControl w:val="0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120" w:after="12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0F56B4">
      <w:pPr>
        <w:pStyle w:val="1"/>
        <w:widowControl w:val="0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</w:t>
      </w:r>
      <w:proofErr w:type="gramStart"/>
      <w:r w:rsidRPr="0033218F">
        <w:rPr>
          <w:szCs w:val="24"/>
        </w:rPr>
        <w:t>соответствии</w:t>
      </w:r>
      <w:proofErr w:type="gramEnd"/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с 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Default="00F659FD" w:rsidP="005D0C2A">
      <w:pPr>
        <w:pStyle w:val="1"/>
        <w:widowControl w:val="0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120" w:after="12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</w:t>
      </w:r>
      <w:r w:rsidR="00BC6823">
        <w:rPr>
          <w:szCs w:val="24"/>
        </w:rPr>
        <w:t>15</w:t>
      </w:r>
      <w:r w:rsidRPr="003D3C7A">
        <w:rPr>
          <w:szCs w:val="24"/>
        </w:rPr>
        <w:t>»</w:t>
      </w:r>
      <w:r w:rsidR="00BC6823">
        <w:rPr>
          <w:szCs w:val="24"/>
        </w:rPr>
        <w:t xml:space="preserve"> августа</w:t>
      </w:r>
      <w:r w:rsidRPr="003D3C7A">
        <w:rPr>
          <w:szCs w:val="24"/>
        </w:rPr>
        <w:t xml:space="preserve"> 20</w:t>
      </w:r>
      <w:r w:rsidR="00BC6823">
        <w:rPr>
          <w:szCs w:val="24"/>
        </w:rPr>
        <w:t xml:space="preserve">20 </w:t>
      </w:r>
      <w:r w:rsidRPr="003D3C7A">
        <w:rPr>
          <w:szCs w:val="24"/>
        </w:rPr>
        <w:t xml:space="preserve">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BC6823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C6823">
        <w:rPr>
          <w:szCs w:val="24"/>
        </w:rPr>
        <w:t xml:space="preserve">декабря </w:t>
      </w:r>
      <w:r w:rsidR="007A46BD" w:rsidRPr="003D3C7A">
        <w:rPr>
          <w:szCs w:val="24"/>
        </w:rPr>
        <w:t xml:space="preserve"> 20</w:t>
      </w:r>
      <w:r w:rsidR="00BC6823">
        <w:rPr>
          <w:szCs w:val="24"/>
        </w:rPr>
        <w:t xml:space="preserve">22 </w:t>
      </w:r>
      <w:r w:rsidR="007A46BD" w:rsidRPr="003D3C7A">
        <w:rPr>
          <w:szCs w:val="24"/>
        </w:rPr>
        <w:t>г.</w:t>
      </w:r>
    </w:p>
    <w:p w:rsidR="00F659FD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у Специалиста, а четвертый передается в </w:t>
      </w:r>
      <w:proofErr w:type="gramStart"/>
      <w:r>
        <w:rPr>
          <w:szCs w:val="24"/>
        </w:rPr>
        <w:t>Федеральное</w:t>
      </w:r>
      <w:proofErr w:type="gramEnd"/>
      <w:r>
        <w:rPr>
          <w:szCs w:val="24"/>
        </w:rPr>
        <w:t xml:space="preserve">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в установленном законодательством порядке. </w:t>
      </w:r>
    </w:p>
    <w:p w:rsidR="00F659FD" w:rsidRDefault="00F659FD" w:rsidP="000F56B4">
      <w:pPr>
        <w:pStyle w:val="1"/>
        <w:widowControl w:val="0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0F56B4" w:rsidRDefault="000F56B4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0F56B4" w:rsidRDefault="000F56B4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0F56B4" w:rsidRDefault="000F56B4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Default="00F659FD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750BBE" w:rsidRPr="001C063D" w:rsidRDefault="00750BBE" w:rsidP="00750BBE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Главы Республики Коми</w:t>
            </w: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  <w:r w:rsidRPr="00FD493E">
              <w:rPr>
                <w:sz w:val="22"/>
                <w:szCs w:val="22"/>
              </w:rPr>
              <w:t xml:space="preserve">167000, </w:t>
            </w: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FD493E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FD493E">
              <w:rPr>
                <w:sz w:val="22"/>
                <w:szCs w:val="22"/>
              </w:rPr>
              <w:t>Коммунистическая</w:t>
            </w:r>
            <w:proofErr w:type="gramEnd"/>
            <w:r w:rsidRPr="00FD493E">
              <w:rPr>
                <w:sz w:val="22"/>
                <w:szCs w:val="22"/>
              </w:rPr>
              <w:t>, д. 9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</w:t>
            </w:r>
            <w:r>
              <w:rPr>
                <w:sz w:val="22"/>
                <w:szCs w:val="22"/>
              </w:rPr>
              <w:t>(8212) 285-113</w:t>
            </w:r>
            <w:r w:rsidRPr="001C06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 </w:t>
            </w:r>
            <w:r w:rsidRPr="001C063D">
              <w:rPr>
                <w:sz w:val="22"/>
                <w:szCs w:val="22"/>
              </w:rPr>
              <w:t xml:space="preserve">факса </w:t>
            </w:r>
            <w:r>
              <w:rPr>
                <w:sz w:val="22"/>
                <w:szCs w:val="22"/>
              </w:rPr>
              <w:t>285-252</w:t>
            </w:r>
          </w:p>
          <w:p w:rsidR="00BC6823" w:rsidRPr="001C063D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Банковские реквизиты </w:t>
            </w:r>
          </w:p>
          <w:p w:rsidR="00BC6823" w:rsidRPr="00FD493E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FD493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/КПП</w:t>
            </w:r>
            <w:r w:rsidRPr="00FD493E">
              <w:rPr>
                <w:sz w:val="22"/>
                <w:szCs w:val="22"/>
              </w:rPr>
              <w:t xml:space="preserve"> 101482730</w:t>
            </w:r>
            <w:r>
              <w:rPr>
                <w:sz w:val="22"/>
                <w:szCs w:val="22"/>
              </w:rPr>
              <w:t>/</w:t>
            </w:r>
            <w:r w:rsidRPr="00FD493E">
              <w:rPr>
                <w:sz w:val="22"/>
                <w:szCs w:val="22"/>
              </w:rPr>
              <w:t xml:space="preserve">110101001 </w:t>
            </w:r>
          </w:p>
          <w:p w:rsidR="00BC6823" w:rsidRPr="00FD493E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proofErr w:type="gramStart"/>
            <w:r w:rsidRPr="00FD493E">
              <w:rPr>
                <w:sz w:val="22"/>
                <w:szCs w:val="22"/>
              </w:rPr>
              <w:t>л</w:t>
            </w:r>
            <w:proofErr w:type="gramEnd"/>
            <w:r w:rsidRPr="00FD493E">
              <w:rPr>
                <w:sz w:val="22"/>
                <w:szCs w:val="22"/>
              </w:rPr>
              <w:t>/с № Л 8235000901-АдмГл в УФК по РК МФ РК, 02072000010</w:t>
            </w:r>
          </w:p>
          <w:p w:rsidR="00BC6823" w:rsidRPr="00FD493E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proofErr w:type="gramStart"/>
            <w:r w:rsidRPr="00FD493E">
              <w:rPr>
                <w:sz w:val="22"/>
                <w:szCs w:val="22"/>
              </w:rPr>
              <w:t>р</w:t>
            </w:r>
            <w:proofErr w:type="gramEnd"/>
            <w:r w:rsidRPr="00FD493E">
              <w:rPr>
                <w:sz w:val="22"/>
                <w:szCs w:val="22"/>
              </w:rPr>
              <w:t xml:space="preserve">/с 40201810300000100048 в Отделении НБ-Республика Коми, </w:t>
            </w:r>
          </w:p>
          <w:p w:rsidR="00BC6823" w:rsidRPr="00FD493E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FD493E">
              <w:rPr>
                <w:sz w:val="22"/>
                <w:szCs w:val="22"/>
              </w:rPr>
              <w:t xml:space="preserve">г. Сыктывкар, </w:t>
            </w: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FD493E">
              <w:rPr>
                <w:sz w:val="22"/>
                <w:szCs w:val="22"/>
              </w:rPr>
              <w:t>БИК 048702001</w:t>
            </w: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FD493E">
              <w:rPr>
                <w:sz w:val="22"/>
                <w:szCs w:val="22"/>
              </w:rPr>
              <w:t>Руководитель Администрации Главы Республики Коми</w:t>
            </w:r>
          </w:p>
          <w:p w:rsidR="00BC6823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BC6823" w:rsidRDefault="000F56B4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9132E5">
              <w:rPr>
                <w:sz w:val="22"/>
                <w:szCs w:val="22"/>
              </w:rPr>
              <w:t>И.А. Божков</w:t>
            </w:r>
            <w:bookmarkStart w:id="0" w:name="_GoBack"/>
            <w:bookmarkEnd w:id="0"/>
            <w:r w:rsidR="00BC6823" w:rsidRPr="00FD493E">
              <w:rPr>
                <w:sz w:val="22"/>
                <w:szCs w:val="22"/>
              </w:rPr>
              <w:t xml:space="preserve">  </w:t>
            </w:r>
          </w:p>
          <w:p w:rsidR="00BC6823" w:rsidRPr="00B0020D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BC6823" w:rsidRPr="001C063D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BC6823" w:rsidP="000F56B4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874CB2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BC6823" w:rsidRDefault="004A0ACC" w:rsidP="000F56B4">
      <w:pPr>
        <w:widowControl w:val="0"/>
      </w:pPr>
    </w:p>
    <w:sectPr w:rsidR="004A0ACC" w:rsidRPr="00BC6823" w:rsidSect="000F56B4">
      <w:footerReference w:type="default" r:id="rId9"/>
      <w:footnotePr>
        <w:numFmt w:val="chicago"/>
      </w:footnotePr>
      <w:pgSz w:w="11906" w:h="16838"/>
      <w:pgMar w:top="851" w:right="850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3A" w:rsidRDefault="00F7733A" w:rsidP="00F659FD">
      <w:r>
        <w:separator/>
      </w:r>
    </w:p>
  </w:endnote>
  <w:endnote w:type="continuationSeparator" w:id="0">
    <w:p w:rsidR="00F7733A" w:rsidRDefault="00F7733A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98450"/>
      <w:docPartObj>
        <w:docPartGallery w:val="Page Numbers (Bottom of Page)"/>
        <w:docPartUnique/>
      </w:docPartObj>
    </w:sdtPr>
    <w:sdtEndPr/>
    <w:sdtContent>
      <w:p w:rsidR="000F56B4" w:rsidRDefault="000F56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E5">
          <w:rPr>
            <w:noProof/>
          </w:rPr>
          <w:t>4</w:t>
        </w:r>
        <w:r>
          <w:fldChar w:fldCharType="end"/>
        </w:r>
      </w:p>
    </w:sdtContent>
  </w:sdt>
  <w:p w:rsidR="000F56B4" w:rsidRDefault="000F56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3A" w:rsidRDefault="00F7733A" w:rsidP="00F659FD">
      <w:r>
        <w:separator/>
      </w:r>
    </w:p>
  </w:footnote>
  <w:footnote w:type="continuationSeparator" w:id="0">
    <w:p w:rsidR="00F7733A" w:rsidRDefault="00F7733A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0F56B4"/>
    <w:rsid w:val="001B5D36"/>
    <w:rsid w:val="001C1DFF"/>
    <w:rsid w:val="002561EC"/>
    <w:rsid w:val="002B7EB3"/>
    <w:rsid w:val="002C09CC"/>
    <w:rsid w:val="002C1BEB"/>
    <w:rsid w:val="00354355"/>
    <w:rsid w:val="003A2C27"/>
    <w:rsid w:val="003C6327"/>
    <w:rsid w:val="003D0088"/>
    <w:rsid w:val="004861BB"/>
    <w:rsid w:val="004A0ACC"/>
    <w:rsid w:val="004C16F7"/>
    <w:rsid w:val="005037C6"/>
    <w:rsid w:val="00545B8A"/>
    <w:rsid w:val="00574948"/>
    <w:rsid w:val="005C29A0"/>
    <w:rsid w:val="005C6C8C"/>
    <w:rsid w:val="005D0C2A"/>
    <w:rsid w:val="00604AEB"/>
    <w:rsid w:val="00604AF2"/>
    <w:rsid w:val="006254BB"/>
    <w:rsid w:val="007225D7"/>
    <w:rsid w:val="007234CD"/>
    <w:rsid w:val="00734055"/>
    <w:rsid w:val="00750BBE"/>
    <w:rsid w:val="00764053"/>
    <w:rsid w:val="007A00F3"/>
    <w:rsid w:val="007A46BD"/>
    <w:rsid w:val="007D7274"/>
    <w:rsid w:val="00800441"/>
    <w:rsid w:val="00812C20"/>
    <w:rsid w:val="00823D1B"/>
    <w:rsid w:val="00847EAD"/>
    <w:rsid w:val="008577F8"/>
    <w:rsid w:val="008750C5"/>
    <w:rsid w:val="00896411"/>
    <w:rsid w:val="00896D44"/>
    <w:rsid w:val="009132E5"/>
    <w:rsid w:val="00961F9F"/>
    <w:rsid w:val="009A0C1A"/>
    <w:rsid w:val="009A7F3C"/>
    <w:rsid w:val="009B48B6"/>
    <w:rsid w:val="009E1036"/>
    <w:rsid w:val="00A02761"/>
    <w:rsid w:val="00A02CBF"/>
    <w:rsid w:val="00A21D26"/>
    <w:rsid w:val="00A4784B"/>
    <w:rsid w:val="00A52E7B"/>
    <w:rsid w:val="00A542A7"/>
    <w:rsid w:val="00AB7629"/>
    <w:rsid w:val="00AC27C5"/>
    <w:rsid w:val="00AE19B9"/>
    <w:rsid w:val="00AE2D92"/>
    <w:rsid w:val="00B278C8"/>
    <w:rsid w:val="00B33EC3"/>
    <w:rsid w:val="00BB31F2"/>
    <w:rsid w:val="00BC6823"/>
    <w:rsid w:val="00C97F48"/>
    <w:rsid w:val="00CA0659"/>
    <w:rsid w:val="00CC6DA3"/>
    <w:rsid w:val="00D85720"/>
    <w:rsid w:val="00D86E97"/>
    <w:rsid w:val="00D94B6F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60A51"/>
    <w:rsid w:val="00F659FD"/>
    <w:rsid w:val="00F7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5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5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5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F5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3103-0522-4F5A-B671-B15C6634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Токмакова Ирина Юрьевна</cp:lastModifiedBy>
  <cp:revision>6</cp:revision>
  <dcterms:created xsi:type="dcterms:W3CDTF">2020-06-30T11:00:00Z</dcterms:created>
  <dcterms:modified xsi:type="dcterms:W3CDTF">2021-03-09T14:18:00Z</dcterms:modified>
</cp:coreProperties>
</file>